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6222" w:rsidRDefault="004061B4">
      <w:pPr>
        <w:spacing w:after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Convocatoria</w:t>
      </w:r>
      <w:proofErr w:type="spellEnd"/>
    </w:p>
    <w:p w14:paraId="00000002" w14:textId="77777777" w:rsidR="00C46222" w:rsidRDefault="004061B4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mediáticas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insurgencias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resistencias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y anti-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racismo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América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Latina y el Caribe </w:t>
      </w:r>
    </w:p>
    <w:p w14:paraId="00000003" w14:textId="1616374D" w:rsidR="00C46222" w:rsidRDefault="004061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úmero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15</w:t>
      </w:r>
    </w:p>
    <w:p w14:paraId="00000004" w14:textId="25803464" w:rsidR="00C46222" w:rsidRDefault="004061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(Julio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)</w:t>
      </w:r>
    </w:p>
    <w:p w14:paraId="00000005" w14:textId="77777777" w:rsidR="00C46222" w:rsidRDefault="00C462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6" w14:textId="77777777" w:rsidR="00C46222" w:rsidRDefault="004061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Fecha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límite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envío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Marzo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de 2021</w:t>
      </w:r>
    </w:p>
    <w:p w14:paraId="00000007" w14:textId="77777777" w:rsidR="00C46222" w:rsidRDefault="00C462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</w:pPr>
    </w:p>
    <w:p w14:paraId="00000008" w14:textId="77777777" w:rsidR="00C46222" w:rsidRDefault="00C462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</w:pPr>
    </w:p>
    <w:p w14:paraId="00000009" w14:textId="77777777" w:rsidR="00C46222" w:rsidRDefault="004061B4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mediatización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brutalidad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policial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Estados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Unidos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Brasil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violencia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cuerpos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jóvenes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Colombia, y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consecuencias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desproporcionales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pandemia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Coronavirus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poblaciones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racializadas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lo largo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egión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han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convertido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lucha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contra 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imperativo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dentro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sociedades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pueden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asumir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rol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insurgente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contexto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donde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hegemónicas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blanqueamiento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ideologías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mestizaje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deshumanizan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la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poblaciones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mediante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representaciones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exotizantes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subalternizadoras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(Hall, 2002, 2009; Gonzales, 2018;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Lundu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2012; van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Dijk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2007). ¿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Qué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tomaría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una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afrodiaspórica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insurgente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? Este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Revi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Conexión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busca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visibilizar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estrategias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comunicacionales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racistas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desde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para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diáspora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América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Latina y el Caribe.</w:t>
      </w:r>
    </w:p>
    <w:p w14:paraId="0000000A" w14:textId="77777777" w:rsidR="00C46222" w:rsidRDefault="004061B4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La idea de que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Latinoamérica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todos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somos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mestizos” (Bonilla-Silva, 2014)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esconde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estructural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sociedades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Ante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/as/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América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Latina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han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creado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estrategias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construir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propias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medios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siempre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reconocidos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hegemónica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ciencia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eurocéntrica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ecetas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culinarias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secuencias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coreográficas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producciones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iconoclastas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toques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percusión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oraciones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religiosas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cumananas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décimas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son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ejemplos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plataformas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comunicativas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contrahegemónicas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/as/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construy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saberes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educativos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alimenticios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ecológicos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religiosos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estéticos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políticos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parte,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inclusión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Tecnologías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(TIC’s)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nuestra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cotidianidad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globalización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han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impulsado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acción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colectiva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construcción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identidades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negras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politizadas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plataformas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comunicativas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han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servido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construir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espacios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transnacionales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autonomía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insurgencia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Así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/as/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impactan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masivas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no-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mediáti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denunciando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discursos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odio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disputando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exigiendo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cambios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legales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</w:p>
    <w:p w14:paraId="0000000B" w14:textId="77777777" w:rsidR="00C46222" w:rsidRDefault="004061B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EE220C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2021, se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cumplen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cinco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primeros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años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Decenio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Población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Unidas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año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también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marca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fin de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 Plan Nacional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Desarrollo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Población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Afroperuana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se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cumple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bicentenario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Independencia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Perú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últimos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años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década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del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2010,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países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Perú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México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incluyeron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censos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nacionales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una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pregunta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etnicidad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recon</w:t>
      </w:r>
      <w:r>
        <w:rPr>
          <w:rFonts w:ascii="Times New Roman" w:eastAsia="Times New Roman" w:hAnsi="Times New Roman" w:cs="Times New Roman"/>
          <w:color w:val="222222"/>
          <w:highlight w:val="white"/>
        </w:rPr>
        <w:t>oce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presencia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las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mientras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tanto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otros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países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región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inician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nuevas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rondas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censales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manera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incrementa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adopción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países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del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continente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hacia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propuesta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Reparaciones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crimen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Lesa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Humani</w:t>
      </w:r>
      <w:r>
        <w:rPr>
          <w:rFonts w:ascii="Times New Roman" w:eastAsia="Times New Roman" w:hAnsi="Times New Roman" w:cs="Times New Roman"/>
          <w:color w:val="222222"/>
          <w:highlight w:val="white"/>
        </w:rPr>
        <w:t>dad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Trasatlántica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planteada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Caribe Insular 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CARICOM. Sin embargo,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muchas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políticas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racistas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implementadas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Brasil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están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amenazadas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avance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del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conservadurismo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del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discurso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odio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manutención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violencia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policial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negra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</w:p>
    <w:p w14:paraId="0000000C" w14:textId="77777777" w:rsidR="00C46222" w:rsidRDefault="004061B4">
      <w:pPr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temático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ansiamos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contribuir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teórica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críticamente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discusión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anti-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visibilizar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estrategias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comunicacionales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racistas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desde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para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</w:t>
      </w:r>
      <w:r>
        <w:rPr>
          <w:rFonts w:ascii="Times New Roman" w:eastAsia="Times New Roman" w:hAnsi="Times New Roman" w:cs="Times New Roman"/>
          <w:color w:val="222222"/>
          <w:highlight w:val="white"/>
        </w:rPr>
        <w:t>iáspora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América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Latina y el Caribe, que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exploren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intersecciones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raza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género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clase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sexualidad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posibles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articulaciones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otros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grupos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racializados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discutir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representaciones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población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medios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tradicionales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alternativos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no-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mediatizada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con especial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atención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activismo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mujeres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las personas LGBTQIAP+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hacer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un balance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crítico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del anti-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según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marcos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legales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Buscamos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reunir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trabajos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investigación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ensayos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reflexiones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campo de las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diálogo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otras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disciplinas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siguientes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ejes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: </w:t>
      </w:r>
    </w:p>
    <w:p w14:paraId="0000000D" w14:textId="77777777" w:rsidR="00C46222" w:rsidRDefault="004061B4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Narrativas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racismo</w:t>
      </w:r>
      <w:proofErr w:type="spellEnd"/>
      <w:r>
        <w:rPr>
          <w:rFonts w:ascii="Times New Roman" w:eastAsia="Times New Roman" w:hAnsi="Times New Roman" w:cs="Times New Roman"/>
        </w:rPr>
        <w:t xml:space="preserve"> y anti-</w:t>
      </w:r>
      <w:proofErr w:type="spellStart"/>
      <w:r>
        <w:rPr>
          <w:rFonts w:ascii="Times New Roman" w:eastAsia="Times New Roman" w:hAnsi="Times New Roman" w:cs="Times New Roman"/>
        </w:rPr>
        <w:t>racismo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masivos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contenido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audiencias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efectos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América</w:t>
      </w:r>
      <w:proofErr w:type="spellEnd"/>
      <w:r>
        <w:rPr>
          <w:rFonts w:ascii="Times New Roman" w:eastAsia="Times New Roman" w:hAnsi="Times New Roman" w:cs="Times New Roman"/>
        </w:rPr>
        <w:t xml:space="preserve"> Lat</w:t>
      </w:r>
      <w:r>
        <w:rPr>
          <w:rFonts w:ascii="Times New Roman" w:eastAsia="Times New Roman" w:hAnsi="Times New Roman" w:cs="Times New Roman"/>
        </w:rPr>
        <w:t>ina y el Caribe.</w:t>
      </w:r>
    </w:p>
    <w:p w14:paraId="0000000E" w14:textId="77777777" w:rsidR="00C46222" w:rsidRDefault="004061B4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Legislación</w:t>
      </w:r>
      <w:proofErr w:type="spellEnd"/>
      <w:r>
        <w:rPr>
          <w:rFonts w:ascii="Times New Roman" w:eastAsia="Times New Roman" w:hAnsi="Times New Roman" w:cs="Times New Roman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</w:rPr>
        <w:t>racista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comunicaciones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F" w14:textId="77777777" w:rsidR="00C46222" w:rsidRDefault="004061B4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Diversidad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étnica</w:t>
      </w:r>
      <w:proofErr w:type="spellEnd"/>
      <w:r>
        <w:rPr>
          <w:rFonts w:ascii="Times New Roman" w:eastAsia="Times New Roman" w:hAnsi="Times New Roman" w:cs="Times New Roman"/>
        </w:rPr>
        <w:t xml:space="preserve"> y racial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comunicación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0" w14:textId="77777777" w:rsidR="00C46222" w:rsidRDefault="004061B4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Representación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afrodescendientes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comunicación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niñas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niños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adolescentes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adultas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adultos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mayores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mujeres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comuni</w:t>
      </w:r>
      <w:r>
        <w:rPr>
          <w:rFonts w:ascii="Times New Roman" w:eastAsia="Times New Roman" w:hAnsi="Times New Roman" w:cs="Times New Roman"/>
        </w:rPr>
        <w:t>dad</w:t>
      </w:r>
      <w:proofErr w:type="spellEnd"/>
      <w:r>
        <w:rPr>
          <w:rFonts w:ascii="Times New Roman" w:eastAsia="Times New Roman" w:hAnsi="Times New Roman" w:cs="Times New Roman"/>
        </w:rPr>
        <w:t xml:space="preserve"> LGBTQIAP+).</w:t>
      </w:r>
    </w:p>
    <w:p w14:paraId="00000011" w14:textId="77777777" w:rsidR="00C46222" w:rsidRDefault="004061B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Estrategias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comunicación</w:t>
      </w:r>
      <w:proofErr w:type="spellEnd"/>
      <w:r>
        <w:rPr>
          <w:rFonts w:ascii="Times New Roman" w:eastAsia="Times New Roman" w:hAnsi="Times New Roman" w:cs="Times New Roman"/>
        </w:rPr>
        <w:t xml:space="preserve"> no-</w:t>
      </w:r>
      <w:proofErr w:type="spellStart"/>
      <w:r>
        <w:rPr>
          <w:rFonts w:ascii="Times New Roman" w:eastAsia="Times New Roman" w:hAnsi="Times New Roman" w:cs="Times New Roman"/>
        </w:rPr>
        <w:t>mediática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orientaciones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críticas</w:t>
      </w:r>
      <w:proofErr w:type="spellEnd"/>
      <w:r>
        <w:rPr>
          <w:rFonts w:ascii="Times New Roman" w:eastAsia="Times New Roman" w:hAnsi="Times New Roman" w:cs="Times New Roman"/>
        </w:rPr>
        <w:t xml:space="preserve"> y de las </w:t>
      </w:r>
      <w:proofErr w:type="spellStart"/>
      <w:r>
        <w:rPr>
          <w:rFonts w:ascii="Times New Roman" w:eastAsia="Times New Roman" w:hAnsi="Times New Roman" w:cs="Times New Roman"/>
        </w:rPr>
        <w:t>ciencias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comunicación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términos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interculturales</w:t>
      </w:r>
      <w:proofErr w:type="spellEnd"/>
      <w:r>
        <w:rPr>
          <w:rFonts w:ascii="Times New Roman" w:eastAsia="Times New Roman" w:hAnsi="Times New Roman" w:cs="Times New Roman"/>
        </w:rPr>
        <w:t xml:space="preserve">, y de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resistencia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incidencia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2" w14:textId="77777777" w:rsidR="00C46222" w:rsidRDefault="004061B4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Justicia</w:t>
      </w:r>
      <w:proofErr w:type="spellEnd"/>
      <w:r>
        <w:rPr>
          <w:rFonts w:ascii="Times New Roman" w:eastAsia="Times New Roman" w:hAnsi="Times New Roman" w:cs="Times New Roman"/>
        </w:rPr>
        <w:t xml:space="preserve"> social y racial; </w:t>
      </w:r>
      <w:proofErr w:type="spellStart"/>
      <w:r>
        <w:rPr>
          <w:rFonts w:ascii="Times New Roman" w:eastAsia="Times New Roman" w:hAnsi="Times New Roman" w:cs="Times New Roman"/>
        </w:rPr>
        <w:t>política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reparativa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políticas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lenguaje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C46222" w:rsidRDefault="004061B4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Deconstrucción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estereotipos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negativos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construcción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referentes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significativos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C46222" w:rsidRDefault="004061B4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Ciudadanía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experiencias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organizativas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comunitarias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colectiva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movimientos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sociales</w:t>
      </w:r>
      <w:proofErr w:type="spellEnd"/>
      <w:r>
        <w:rPr>
          <w:rFonts w:ascii="Times New Roman" w:eastAsia="Times New Roman" w:hAnsi="Times New Roman" w:cs="Times New Roman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</w:rPr>
        <w:t>lider</w:t>
      </w:r>
      <w:r>
        <w:rPr>
          <w:rFonts w:ascii="Times New Roman" w:eastAsia="Times New Roman" w:hAnsi="Times New Roman" w:cs="Times New Roman"/>
        </w:rPr>
        <w:t>azgo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comunitario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afrodiaspóricos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00000015" w14:textId="77777777" w:rsidR="00C46222" w:rsidRDefault="004061B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Estudios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interseccionales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comparativos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comunicación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contrahegemónica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6" w14:textId="77777777" w:rsidR="00C46222" w:rsidRDefault="004061B4">
      <w:pPr>
        <w:numPr>
          <w:ilvl w:val="0"/>
          <w:numId w:val="1"/>
        </w:numPr>
        <w:ind w:left="14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Políticas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identidad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discurso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poder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afrodiáspora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7" w14:textId="77777777" w:rsidR="00C46222" w:rsidRDefault="004061B4">
      <w:pPr>
        <w:numPr>
          <w:ilvl w:val="0"/>
          <w:numId w:val="2"/>
        </w:numPr>
        <w:spacing w:after="240"/>
        <w:ind w:left="144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t>Narrativas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feminismos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negros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decoloniales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8" w14:textId="77777777" w:rsidR="00C46222" w:rsidRDefault="004061B4">
      <w:pPr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Recibiremos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artículos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inéditos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originales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español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portugués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inglés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Hacemos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un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llamado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especial para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trabajos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activistas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producido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análisis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desde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espacios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formatos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escritura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contrahegemónicos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colaborativos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investigación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participativa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etc.).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Así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mismo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hacemos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especial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énfasis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invitación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trabajos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aborden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comunicacionales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antirracistas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mujeres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 personas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comunidad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LGBTQIAP+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afrodescendientes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</w:p>
    <w:p w14:paraId="00000019" w14:textId="077B64AF" w:rsidR="00C46222" w:rsidRDefault="004061B4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El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plazo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recepción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 w:rsidR="00666793">
        <w:rPr>
          <w:rFonts w:ascii="Times New Roman" w:eastAsia="Times New Roman" w:hAnsi="Times New Roman" w:cs="Times New Roman"/>
          <w:color w:val="222222"/>
          <w:highlight w:val="white"/>
        </w:rPr>
        <w:t xml:space="preserve">de </w:t>
      </w:r>
      <w:proofErr w:type="spellStart"/>
      <w:r w:rsidR="00666793">
        <w:rPr>
          <w:rFonts w:ascii="Times New Roman" w:eastAsia="Times New Roman" w:hAnsi="Times New Roman" w:cs="Times New Roman"/>
          <w:color w:val="222222"/>
          <w:highlight w:val="white"/>
        </w:rPr>
        <w:t>artículos</w:t>
      </w:r>
      <w:proofErr w:type="spellEnd"/>
      <w:r w:rsidR="00666793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="00666793">
        <w:rPr>
          <w:rFonts w:ascii="Times New Roman" w:eastAsia="Times New Roman" w:hAnsi="Times New Roman" w:cs="Times New Roman"/>
          <w:color w:val="222222"/>
          <w:highlight w:val="white"/>
        </w:rPr>
        <w:t>comienza</w:t>
      </w:r>
      <w:proofErr w:type="spellEnd"/>
      <w:r w:rsidR="00666793">
        <w:rPr>
          <w:rFonts w:ascii="Times New Roman" w:eastAsia="Times New Roman" w:hAnsi="Times New Roman" w:cs="Times New Roman"/>
          <w:color w:val="222222"/>
          <w:highlight w:val="white"/>
        </w:rPr>
        <w:t xml:space="preserve"> el 10 de </w:t>
      </w:r>
      <w:proofErr w:type="spellStart"/>
      <w:r w:rsidR="00666793">
        <w:rPr>
          <w:rFonts w:ascii="Times New Roman" w:eastAsia="Times New Roman" w:hAnsi="Times New Roman" w:cs="Times New Roman"/>
          <w:color w:val="222222"/>
          <w:highlight w:val="white"/>
        </w:rPr>
        <w:t>s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eptiembre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2020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termina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 2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2021. Los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artículos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recibidos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serán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sometidos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evaluación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pares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aceptados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serán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publicados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el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15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revista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Conexión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previ</w:t>
      </w:r>
      <w:r w:rsidR="00EA64A6">
        <w:rPr>
          <w:rFonts w:ascii="Times New Roman" w:eastAsia="Times New Roman" w:hAnsi="Times New Roman" w:cs="Times New Roman"/>
          <w:color w:val="222222"/>
          <w:highlight w:val="white"/>
        </w:rPr>
        <w:t>sto</w:t>
      </w:r>
      <w:proofErr w:type="spellEnd"/>
      <w:r w:rsidR="00EA64A6">
        <w:rPr>
          <w:rFonts w:ascii="Times New Roman" w:eastAsia="Times New Roman" w:hAnsi="Times New Roman" w:cs="Times New Roman"/>
          <w:color w:val="222222"/>
          <w:highlight w:val="white"/>
        </w:rPr>
        <w:t xml:space="preserve"> para </w:t>
      </w:r>
      <w:proofErr w:type="spellStart"/>
      <w:r w:rsidR="00EA64A6">
        <w:rPr>
          <w:rFonts w:ascii="Times New Roman" w:eastAsia="Times New Roman" w:hAnsi="Times New Roman" w:cs="Times New Roman"/>
          <w:color w:val="222222"/>
          <w:highlight w:val="white"/>
        </w:rPr>
        <w:t>jul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io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2021.</w:t>
      </w:r>
    </w:p>
    <w:p w14:paraId="0000001A" w14:textId="77777777" w:rsidR="00C46222" w:rsidRDefault="004061B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Para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presentación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artículos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consulte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normas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siguientes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enlaces:</w:t>
      </w:r>
    </w:p>
    <w:p w14:paraId="0000001B" w14:textId="77777777" w:rsidR="00C46222" w:rsidRDefault="004061B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1155CC"/>
          <w:highlight w:val="white"/>
          <w:u w:val="single"/>
        </w:rPr>
      </w:pPr>
      <w:hyperlink r:id="rId5"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 xml:space="preserve">→ </w:t>
        </w:r>
        <w:proofErr w:type="spellStart"/>
        <w:proofErr w:type="gramStart"/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>Normas</w:t>
        </w:r>
        <w:proofErr w:type="spellEnd"/>
        <w:proofErr w:type="gramEnd"/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 xml:space="preserve"> para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>autores</w:t>
        </w:r>
        <w:proofErr w:type="spellEnd"/>
      </w:hyperlink>
    </w:p>
    <w:p w14:paraId="0000001C" w14:textId="77777777" w:rsidR="00C46222" w:rsidRDefault="004061B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1155CC"/>
          <w:highlight w:val="white"/>
          <w:u w:val="single"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 xml:space="preserve">→ </w:t>
        </w:r>
        <w:proofErr w:type="spellStart"/>
        <w:proofErr w:type="gramStart"/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>Normas</w:t>
        </w:r>
        <w:proofErr w:type="spellEnd"/>
        <w:proofErr w:type="gramEnd"/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 xml:space="preserve"> para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>imágenes</w:t>
        </w:r>
        <w:proofErr w:type="spellEnd"/>
      </w:hyperlink>
    </w:p>
    <w:p w14:paraId="0000001D" w14:textId="78BA2637" w:rsidR="00C46222" w:rsidRDefault="004061B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Puede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acceder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números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anteriores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AQUÍ</w:t>
        </w:r>
      </w:hyperlink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consulta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editorial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puede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contactarse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on Camila Daniel (camiladaniell@gmail.com),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Meyby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Ugueto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-Ponce (meybyugueto@yahoo.es) 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Sharún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Gonzales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Matute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(sharun.gonzales@pucp.pe),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coordinadoras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temático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15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Conexió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(con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copia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epasapera@pucp.pe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). </w:t>
      </w:r>
    </w:p>
    <w:p w14:paraId="0000001E" w14:textId="77777777" w:rsidR="00C46222" w:rsidRDefault="00C46222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</w:pPr>
    </w:p>
    <w:p w14:paraId="0000001F" w14:textId="77777777" w:rsidR="00C46222" w:rsidRDefault="00C46222">
      <w:pPr>
        <w:rPr>
          <w:b/>
        </w:rPr>
      </w:pPr>
    </w:p>
    <w:p w14:paraId="00000020" w14:textId="77777777" w:rsidR="00C46222" w:rsidRDefault="00C46222">
      <w:pPr>
        <w:spacing w:before="240" w:after="240"/>
        <w:ind w:left="1440" w:hanging="720"/>
      </w:pPr>
    </w:p>
    <w:sectPr w:rsidR="00C462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2CF"/>
    <w:multiLevelType w:val="multilevel"/>
    <w:tmpl w:val="9156F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F3930"/>
    <w:multiLevelType w:val="multilevel"/>
    <w:tmpl w:val="34AC0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BA2B4F"/>
    <w:multiLevelType w:val="multilevel"/>
    <w:tmpl w:val="4574E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5918DB"/>
    <w:multiLevelType w:val="multilevel"/>
    <w:tmpl w:val="6FC68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22"/>
    <w:rsid w:val="004061B4"/>
    <w:rsid w:val="00666793"/>
    <w:rsid w:val="00C46222"/>
    <w:rsid w:val="00E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DCCDC"/>
  <w15:docId w15:val="{33F32F87-C8B6-4C7E-9774-1114B98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vistas.pucp.edu.pe/index.php/conexion/issue/arch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stas.pucp.edu.pe/index.php/conexion/elemento_grafico" TargetMode="External"/><Relationship Id="rId5" Type="http://schemas.openxmlformats.org/officeDocument/2006/relationships/hyperlink" Target="http://revistas.pucp.edu.pe/index.php/conexion/normas_auto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departamento</cp:lastModifiedBy>
  <cp:revision>4</cp:revision>
  <dcterms:created xsi:type="dcterms:W3CDTF">2020-09-07T20:06:00Z</dcterms:created>
  <dcterms:modified xsi:type="dcterms:W3CDTF">2020-09-07T20:07:00Z</dcterms:modified>
</cp:coreProperties>
</file>